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6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1"/>
      </w:tblGrid>
      <w:tr w:rsidR="008E4657" w14:paraId="7515A964" w14:textId="77777777" w:rsidTr="00ED3130">
        <w:tc>
          <w:tcPr>
            <w:tcW w:w="3265" w:type="dxa"/>
            <w:tcBorders>
              <w:top w:val="nil"/>
              <w:left w:val="nil"/>
              <w:bottom w:val="nil"/>
              <w:right w:val="nil"/>
            </w:tcBorders>
          </w:tcPr>
          <w:p w14:paraId="05FDCFB3" w14:textId="77777777" w:rsidR="008E4657" w:rsidRDefault="008E4657" w:rsidP="00ED3130">
            <w:pPr>
              <w:spacing w:after="0" w:line="240" w:lineRule="auto"/>
              <w:rPr>
                <w:sz w:val="28"/>
                <w:szCs w:val="28"/>
                <w:lang w:val="ru-RU"/>
              </w:rPr>
            </w:pPr>
            <w:bookmarkStart w:id="0" w:name="z1670"/>
            <w:r w:rsidRPr="003C6966">
              <w:rPr>
                <w:sz w:val="28"/>
                <w:szCs w:val="28"/>
                <w:lang w:val="ru-RU"/>
              </w:rPr>
              <w:t>Приложение к приказу</w:t>
            </w:r>
          </w:p>
        </w:tc>
      </w:tr>
      <w:tr w:rsidR="008E4657" w14:paraId="5A853192" w14:textId="77777777" w:rsidTr="00ED3130">
        <w:tc>
          <w:tcPr>
            <w:tcW w:w="0" w:type="auto"/>
            <w:tcBorders>
              <w:top w:val="nil"/>
              <w:left w:val="nil"/>
              <w:bottom w:val="nil"/>
              <w:right w:val="nil"/>
            </w:tcBorders>
          </w:tcPr>
          <w:p w14:paraId="5B105757" w14:textId="77777777" w:rsidR="008E4657" w:rsidRPr="008E4657" w:rsidRDefault="008E4657" w:rsidP="00ED3130">
            <w:pPr>
              <w:ind w:left="250"/>
              <w:rPr>
                <w:lang w:val="ru-RU"/>
              </w:rPr>
            </w:pPr>
            <w:r w:rsidRPr="008E4657">
              <w:rPr>
                <w:sz w:val="28"/>
                <w:lang w:val="ru-RU"/>
              </w:rPr>
              <w:t>Заместитель Премьер-Министра - Министр финансов Республики Казахстан</w:t>
            </w:r>
          </w:p>
          <w:p w14:paraId="1CF381BE" w14:textId="77777777" w:rsidR="008E4657" w:rsidRDefault="008E4657" w:rsidP="00ED3130">
            <w:pPr>
              <w:ind w:left="250"/>
            </w:pPr>
            <w:proofErr w:type="spellStart"/>
            <w:r>
              <w:rPr>
                <w:sz w:val="28"/>
              </w:rPr>
              <w:t>от</w:t>
            </w:r>
            <w:proofErr w:type="spellEnd"/>
            <w:r>
              <w:rPr>
                <w:sz w:val="28"/>
              </w:rPr>
              <w:t xml:space="preserve"> 4 </w:t>
            </w:r>
            <w:proofErr w:type="spellStart"/>
            <w:r>
              <w:rPr>
                <w:sz w:val="28"/>
              </w:rPr>
              <w:t>октября</w:t>
            </w:r>
            <w:proofErr w:type="spellEnd"/>
            <w:r>
              <w:rPr>
                <w:sz w:val="28"/>
              </w:rPr>
              <w:t xml:space="preserve"> 2023 </w:t>
            </w:r>
            <w:proofErr w:type="spellStart"/>
            <w:r>
              <w:rPr>
                <w:sz w:val="28"/>
              </w:rPr>
              <w:t>года</w:t>
            </w:r>
            <w:proofErr w:type="spellEnd"/>
          </w:p>
          <w:p w14:paraId="44C52765" w14:textId="77777777" w:rsidR="008E4657" w:rsidRDefault="008E4657" w:rsidP="00ED3130">
            <w:pPr>
              <w:ind w:left="250"/>
            </w:pPr>
            <w:r>
              <w:rPr>
                <w:sz w:val="28"/>
              </w:rPr>
              <w:t>№ 1049</w:t>
            </w:r>
          </w:p>
        </w:tc>
      </w:tr>
    </w:tbl>
    <w:p w14:paraId="224ADF5F" w14:textId="77777777" w:rsidR="00E84C24" w:rsidRPr="003C6966" w:rsidRDefault="00E84C24" w:rsidP="008E4657">
      <w:pPr>
        <w:spacing w:after="0" w:line="240" w:lineRule="auto"/>
        <w:rPr>
          <w:color w:val="000000"/>
          <w:sz w:val="28"/>
          <w:szCs w:val="28"/>
          <w:lang w:val="ru-RU"/>
        </w:rPr>
      </w:pPr>
      <w:bookmarkStart w:id="1" w:name="_GoBack"/>
      <w:bookmarkEnd w:id="1"/>
    </w:p>
    <w:p w14:paraId="12B3F477" w14:textId="77777777" w:rsidR="00261758" w:rsidRPr="003C6966" w:rsidRDefault="00261758" w:rsidP="00261758">
      <w:pPr>
        <w:spacing w:after="0" w:line="240" w:lineRule="auto"/>
        <w:ind w:left="5812"/>
        <w:jc w:val="center"/>
        <w:rPr>
          <w:color w:val="000000"/>
          <w:sz w:val="28"/>
          <w:szCs w:val="28"/>
          <w:lang w:val="ru-RU"/>
        </w:rPr>
      </w:pPr>
      <w:bookmarkStart w:id="2" w:name="z2989"/>
      <w:bookmarkEnd w:id="0"/>
      <w:r w:rsidRPr="003C6966">
        <w:rPr>
          <w:color w:val="000000"/>
          <w:sz w:val="28"/>
          <w:szCs w:val="28"/>
          <w:lang w:val="ru-RU"/>
        </w:rPr>
        <w:t>Приложение 11-5</w:t>
      </w:r>
    </w:p>
    <w:p w14:paraId="1CB6272A" w14:textId="77777777" w:rsidR="00261758" w:rsidRPr="003C6966" w:rsidRDefault="00261758" w:rsidP="00261758">
      <w:pPr>
        <w:spacing w:after="0" w:line="240" w:lineRule="auto"/>
        <w:ind w:left="5812"/>
        <w:jc w:val="center"/>
        <w:rPr>
          <w:color w:val="000000"/>
          <w:sz w:val="28"/>
          <w:szCs w:val="28"/>
          <w:lang w:val="ru-RU"/>
        </w:rPr>
      </w:pPr>
      <w:r w:rsidRPr="003C6966">
        <w:rPr>
          <w:color w:val="000000"/>
          <w:sz w:val="28"/>
          <w:szCs w:val="28"/>
          <w:lang w:val="ru-RU"/>
        </w:rPr>
        <w:t>к Правилам осуществления</w:t>
      </w:r>
    </w:p>
    <w:p w14:paraId="5CCC9F4C" w14:textId="13093700" w:rsidR="00F72864" w:rsidRPr="003C6966" w:rsidRDefault="00261758" w:rsidP="00261758">
      <w:pPr>
        <w:spacing w:after="0" w:line="240" w:lineRule="auto"/>
        <w:ind w:left="5812"/>
        <w:jc w:val="center"/>
        <w:rPr>
          <w:color w:val="000000"/>
          <w:sz w:val="28"/>
          <w:szCs w:val="28"/>
          <w:lang w:val="ru-RU"/>
        </w:rPr>
      </w:pPr>
      <w:r w:rsidRPr="003C6966">
        <w:rPr>
          <w:color w:val="000000"/>
          <w:sz w:val="28"/>
          <w:szCs w:val="28"/>
          <w:lang w:val="ru-RU"/>
        </w:rPr>
        <w:t>государственных закупок</w:t>
      </w:r>
    </w:p>
    <w:bookmarkEnd w:id="2"/>
    <w:p w14:paraId="0F40EE03" w14:textId="77777777" w:rsidR="00036EF3" w:rsidRPr="003C6966" w:rsidRDefault="00036EF3" w:rsidP="00036EF3">
      <w:pPr>
        <w:spacing w:after="0" w:line="240" w:lineRule="auto"/>
        <w:jc w:val="center"/>
        <w:rPr>
          <w:b/>
          <w:color w:val="000000"/>
          <w:sz w:val="28"/>
          <w:szCs w:val="28"/>
          <w:lang w:val="ru-RU"/>
        </w:rPr>
      </w:pPr>
    </w:p>
    <w:p w14:paraId="48F7A302" w14:textId="77777777" w:rsidR="00036EF3" w:rsidRPr="003C6966" w:rsidRDefault="00036EF3" w:rsidP="00036EF3">
      <w:pPr>
        <w:spacing w:after="0" w:line="240" w:lineRule="auto"/>
        <w:jc w:val="center"/>
        <w:rPr>
          <w:b/>
          <w:color w:val="000000"/>
          <w:sz w:val="28"/>
          <w:szCs w:val="28"/>
          <w:lang w:val="ru-RU"/>
        </w:rPr>
      </w:pPr>
    </w:p>
    <w:p w14:paraId="25E9A413" w14:textId="77777777" w:rsidR="00261758" w:rsidRPr="00D25818" w:rsidRDefault="00261758" w:rsidP="00261758">
      <w:pPr>
        <w:autoSpaceDE w:val="0"/>
        <w:autoSpaceDN w:val="0"/>
        <w:adjustRightInd w:val="0"/>
        <w:spacing w:after="0" w:line="240" w:lineRule="auto"/>
        <w:jc w:val="center"/>
        <w:rPr>
          <w:color w:val="000000"/>
          <w:sz w:val="28"/>
          <w:szCs w:val="28"/>
          <w:lang w:val="ru-RU"/>
        </w:rPr>
      </w:pPr>
      <w:r w:rsidRPr="00D25818">
        <w:rPr>
          <w:color w:val="000000"/>
          <w:sz w:val="28"/>
          <w:szCs w:val="28"/>
          <w:lang w:val="ru-RU"/>
        </w:rPr>
        <w:t xml:space="preserve">Перечень </w:t>
      </w:r>
    </w:p>
    <w:p w14:paraId="287A83DF" w14:textId="0F48459F" w:rsidR="00036EF3" w:rsidRPr="00D25818" w:rsidRDefault="00261758" w:rsidP="00261758">
      <w:pPr>
        <w:autoSpaceDE w:val="0"/>
        <w:autoSpaceDN w:val="0"/>
        <w:adjustRightInd w:val="0"/>
        <w:spacing w:after="0" w:line="240" w:lineRule="auto"/>
        <w:jc w:val="center"/>
        <w:rPr>
          <w:bCs/>
          <w:sz w:val="28"/>
          <w:szCs w:val="28"/>
          <w:lang w:val="ru-RU"/>
        </w:rPr>
      </w:pPr>
      <w:r w:rsidRPr="00D25818">
        <w:rPr>
          <w:color w:val="000000"/>
          <w:sz w:val="28"/>
          <w:szCs w:val="28"/>
          <w:lang w:val="ru-RU"/>
        </w:rPr>
        <w:t>государственных закупок работ, услуг, при осуществлении которых применяются отрицательные значения в качестве критерия, влияющего на конкурсное ценовое предложение</w:t>
      </w:r>
    </w:p>
    <w:p w14:paraId="1DE3EDF6" w14:textId="37BC29B2" w:rsidR="00036EF3" w:rsidRPr="00D25818" w:rsidRDefault="00036EF3" w:rsidP="00036EF3">
      <w:pPr>
        <w:autoSpaceDE w:val="0"/>
        <w:autoSpaceDN w:val="0"/>
        <w:adjustRightInd w:val="0"/>
        <w:spacing w:after="0" w:line="240" w:lineRule="auto"/>
        <w:ind w:left="709"/>
        <w:rPr>
          <w:sz w:val="28"/>
          <w:szCs w:val="28"/>
          <w:lang w:val="ru-RU"/>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26"/>
        <w:gridCol w:w="8541"/>
      </w:tblGrid>
      <w:tr w:rsidR="00261758" w:rsidRPr="00D25818" w14:paraId="1BACBB31" w14:textId="77777777" w:rsidTr="00261758">
        <w:trPr>
          <w:trHeight w:val="275"/>
        </w:trPr>
        <w:tc>
          <w:tcPr>
            <w:tcW w:w="526" w:type="dxa"/>
            <w:shd w:val="clear" w:color="auto" w:fill="auto"/>
            <w:tcMar>
              <w:top w:w="45" w:type="dxa"/>
              <w:left w:w="75" w:type="dxa"/>
              <w:bottom w:w="45" w:type="dxa"/>
              <w:right w:w="75" w:type="dxa"/>
            </w:tcMar>
            <w:hideMark/>
          </w:tcPr>
          <w:p w14:paraId="6FE2D84F"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w:t>
            </w:r>
          </w:p>
        </w:tc>
        <w:tc>
          <w:tcPr>
            <w:tcW w:w="8541" w:type="dxa"/>
            <w:shd w:val="clear" w:color="auto" w:fill="auto"/>
            <w:tcMar>
              <w:top w:w="45" w:type="dxa"/>
              <w:left w:w="75" w:type="dxa"/>
              <w:bottom w:w="45" w:type="dxa"/>
              <w:right w:w="75" w:type="dxa"/>
            </w:tcMar>
            <w:hideMark/>
          </w:tcPr>
          <w:p w14:paraId="6C914263"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Наименование работ, услуг</w:t>
            </w:r>
          </w:p>
        </w:tc>
      </w:tr>
      <w:tr w:rsidR="00261758" w:rsidRPr="00D25818" w14:paraId="4D6E958E" w14:textId="77777777" w:rsidTr="00261758">
        <w:trPr>
          <w:trHeight w:val="264"/>
        </w:trPr>
        <w:tc>
          <w:tcPr>
            <w:tcW w:w="526" w:type="dxa"/>
            <w:shd w:val="clear" w:color="auto" w:fill="auto"/>
            <w:tcMar>
              <w:top w:w="45" w:type="dxa"/>
              <w:left w:w="75" w:type="dxa"/>
              <w:bottom w:w="45" w:type="dxa"/>
              <w:right w:w="75" w:type="dxa"/>
            </w:tcMar>
            <w:hideMark/>
          </w:tcPr>
          <w:p w14:paraId="4C95F794"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1.</w:t>
            </w:r>
          </w:p>
        </w:tc>
        <w:tc>
          <w:tcPr>
            <w:tcW w:w="8541" w:type="dxa"/>
            <w:shd w:val="clear" w:color="auto" w:fill="auto"/>
            <w:tcMar>
              <w:top w:w="45" w:type="dxa"/>
              <w:left w:w="75" w:type="dxa"/>
              <w:bottom w:w="45" w:type="dxa"/>
              <w:right w:w="75" w:type="dxa"/>
            </w:tcMar>
            <w:hideMark/>
          </w:tcPr>
          <w:p w14:paraId="3047CC1F"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Строительно-монтажные работы</w:t>
            </w:r>
          </w:p>
        </w:tc>
      </w:tr>
      <w:tr w:rsidR="00261758" w:rsidRPr="008E4657" w14:paraId="5CE1641A" w14:textId="77777777" w:rsidTr="00261758">
        <w:trPr>
          <w:trHeight w:val="552"/>
        </w:trPr>
        <w:tc>
          <w:tcPr>
            <w:tcW w:w="526" w:type="dxa"/>
            <w:shd w:val="clear" w:color="auto" w:fill="auto"/>
            <w:tcMar>
              <w:top w:w="45" w:type="dxa"/>
              <w:left w:w="75" w:type="dxa"/>
              <w:bottom w:w="45" w:type="dxa"/>
              <w:right w:w="75" w:type="dxa"/>
            </w:tcMar>
            <w:hideMark/>
          </w:tcPr>
          <w:p w14:paraId="266C4FB0"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2.</w:t>
            </w:r>
          </w:p>
        </w:tc>
        <w:tc>
          <w:tcPr>
            <w:tcW w:w="8541" w:type="dxa"/>
            <w:shd w:val="clear" w:color="auto" w:fill="auto"/>
            <w:tcMar>
              <w:top w:w="45" w:type="dxa"/>
              <w:left w:w="75" w:type="dxa"/>
              <w:bottom w:w="45" w:type="dxa"/>
              <w:right w:w="75" w:type="dxa"/>
            </w:tcMar>
            <w:hideMark/>
          </w:tcPr>
          <w:p w14:paraId="2439EA61"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Работы по разработке технико-экономического обоснования, проектно-сметной (типовой проектно-сметной) документации и градостроительных проектов</w:t>
            </w:r>
          </w:p>
        </w:tc>
      </w:tr>
      <w:tr w:rsidR="00261758" w:rsidRPr="008E4657" w14:paraId="5227C25B" w14:textId="77777777" w:rsidTr="00261758">
        <w:trPr>
          <w:trHeight w:val="275"/>
        </w:trPr>
        <w:tc>
          <w:tcPr>
            <w:tcW w:w="526" w:type="dxa"/>
            <w:shd w:val="clear" w:color="auto" w:fill="auto"/>
            <w:tcMar>
              <w:top w:w="45" w:type="dxa"/>
              <w:left w:w="75" w:type="dxa"/>
              <w:bottom w:w="45" w:type="dxa"/>
              <w:right w:w="75" w:type="dxa"/>
            </w:tcMar>
            <w:hideMark/>
          </w:tcPr>
          <w:p w14:paraId="4DCA239E"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3.</w:t>
            </w:r>
          </w:p>
        </w:tc>
        <w:tc>
          <w:tcPr>
            <w:tcW w:w="8541" w:type="dxa"/>
            <w:shd w:val="clear" w:color="auto" w:fill="auto"/>
            <w:tcMar>
              <w:top w:w="45" w:type="dxa"/>
              <w:left w:w="75" w:type="dxa"/>
              <w:bottom w:w="45" w:type="dxa"/>
              <w:right w:w="75" w:type="dxa"/>
            </w:tcMar>
            <w:hideMark/>
          </w:tcPr>
          <w:p w14:paraId="5EC54CFF"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Работы по комплексной вневедомственной экспертизе проектов строительства объектов</w:t>
            </w:r>
          </w:p>
        </w:tc>
      </w:tr>
      <w:tr w:rsidR="00261758" w:rsidRPr="008E4657" w14:paraId="134C6532" w14:textId="77777777" w:rsidTr="00261758">
        <w:trPr>
          <w:trHeight w:val="547"/>
        </w:trPr>
        <w:tc>
          <w:tcPr>
            <w:tcW w:w="526" w:type="dxa"/>
            <w:shd w:val="clear" w:color="auto" w:fill="auto"/>
            <w:tcMar>
              <w:top w:w="45" w:type="dxa"/>
              <w:left w:w="75" w:type="dxa"/>
              <w:bottom w:w="45" w:type="dxa"/>
              <w:right w:w="75" w:type="dxa"/>
            </w:tcMar>
            <w:hideMark/>
          </w:tcPr>
          <w:p w14:paraId="5A57F03A"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4.</w:t>
            </w:r>
          </w:p>
        </w:tc>
        <w:tc>
          <w:tcPr>
            <w:tcW w:w="8541" w:type="dxa"/>
            <w:shd w:val="clear" w:color="auto" w:fill="auto"/>
            <w:tcMar>
              <w:top w:w="45" w:type="dxa"/>
              <w:left w:w="75" w:type="dxa"/>
              <w:bottom w:w="45" w:type="dxa"/>
              <w:right w:w="75" w:type="dxa"/>
            </w:tcMar>
            <w:hideMark/>
          </w:tcPr>
          <w:p w14:paraId="7AA7D2BC" w14:textId="77777777" w:rsidR="00261758" w:rsidRPr="00D25818" w:rsidRDefault="00261758" w:rsidP="0046423A">
            <w:pPr>
              <w:spacing w:after="0" w:line="240" w:lineRule="auto"/>
              <w:textAlignment w:val="baseline"/>
              <w:rPr>
                <w:color w:val="000000"/>
                <w:sz w:val="28"/>
                <w:szCs w:val="28"/>
                <w:lang w:val="ru-RU"/>
              </w:rPr>
            </w:pPr>
            <w:r w:rsidRPr="00D25818">
              <w:rPr>
                <w:color w:val="000000"/>
                <w:spacing w:val="2"/>
                <w:sz w:val="28"/>
                <w:szCs w:val="28"/>
                <w:lang w:val="ru-RU"/>
              </w:rPr>
              <w:t>Инжиниринговые услуги в сфере архитектурной, градостроительной и строительной деятельности (технический надзор, управление проектом)</w:t>
            </w:r>
          </w:p>
        </w:tc>
      </w:tr>
      <w:tr w:rsidR="00261758" w:rsidRPr="00D25818" w14:paraId="24E32D6A" w14:textId="77777777" w:rsidTr="00261758">
        <w:trPr>
          <w:trHeight w:val="476"/>
        </w:trPr>
        <w:tc>
          <w:tcPr>
            <w:tcW w:w="526" w:type="dxa"/>
            <w:shd w:val="clear" w:color="auto" w:fill="auto"/>
            <w:tcMar>
              <w:top w:w="45" w:type="dxa"/>
              <w:left w:w="75" w:type="dxa"/>
              <w:bottom w:w="45" w:type="dxa"/>
              <w:right w:w="75" w:type="dxa"/>
            </w:tcMar>
          </w:tcPr>
          <w:p w14:paraId="74D2DC0B"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5.</w:t>
            </w:r>
          </w:p>
        </w:tc>
        <w:tc>
          <w:tcPr>
            <w:tcW w:w="8541" w:type="dxa"/>
            <w:shd w:val="clear" w:color="auto" w:fill="auto"/>
            <w:tcMar>
              <w:top w:w="45" w:type="dxa"/>
              <w:left w:w="75" w:type="dxa"/>
              <w:bottom w:w="45" w:type="dxa"/>
              <w:right w:w="75" w:type="dxa"/>
            </w:tcMar>
          </w:tcPr>
          <w:p w14:paraId="58508AA1" w14:textId="77777777" w:rsidR="00261758" w:rsidRPr="00D25818" w:rsidRDefault="00261758" w:rsidP="0046423A">
            <w:pPr>
              <w:spacing w:after="0" w:line="240" w:lineRule="auto"/>
              <w:textAlignment w:val="baseline"/>
              <w:rPr>
                <w:color w:val="000000"/>
                <w:spacing w:val="2"/>
                <w:sz w:val="28"/>
                <w:szCs w:val="28"/>
                <w:lang w:val="ru-RU"/>
              </w:rPr>
            </w:pPr>
            <w:r w:rsidRPr="00D25818">
              <w:rPr>
                <w:color w:val="000000"/>
                <w:spacing w:val="2"/>
                <w:sz w:val="28"/>
                <w:szCs w:val="28"/>
                <w:lang w:val="ru-RU"/>
              </w:rPr>
              <w:t>Средний ремонт автомобильных дорог</w:t>
            </w:r>
          </w:p>
        </w:tc>
      </w:tr>
    </w:tbl>
    <w:p w14:paraId="48985E2B" w14:textId="77777777" w:rsidR="00261758" w:rsidRPr="003C6966" w:rsidRDefault="00261758" w:rsidP="00036EF3">
      <w:pPr>
        <w:autoSpaceDE w:val="0"/>
        <w:autoSpaceDN w:val="0"/>
        <w:adjustRightInd w:val="0"/>
        <w:spacing w:after="0" w:line="240" w:lineRule="auto"/>
        <w:ind w:left="709"/>
        <w:rPr>
          <w:sz w:val="28"/>
          <w:szCs w:val="28"/>
          <w:lang w:val="ru-RU"/>
        </w:rPr>
      </w:pPr>
    </w:p>
    <w:sectPr w:rsidR="00261758" w:rsidRPr="003C6966" w:rsidSect="00DD6479">
      <w:headerReference w:type="default" r:id="rId6"/>
      <w:pgSz w:w="11906" w:h="16838"/>
      <w:pgMar w:top="1418" w:right="851" w:bottom="1418" w:left="1418" w:header="708" w:footer="708"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BA3285" w14:textId="77777777" w:rsidR="009F0976" w:rsidRDefault="009F0976" w:rsidP="00E84C24">
      <w:pPr>
        <w:spacing w:after="0" w:line="240" w:lineRule="auto"/>
      </w:pPr>
      <w:r>
        <w:separator/>
      </w:r>
    </w:p>
  </w:endnote>
  <w:endnote w:type="continuationSeparator" w:id="0">
    <w:p w14:paraId="78C66341" w14:textId="77777777" w:rsidR="009F0976" w:rsidRDefault="009F0976" w:rsidP="00E84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3E742" w14:textId="77777777" w:rsidR="009F0976" w:rsidRDefault="009F0976" w:rsidP="00E84C24">
      <w:pPr>
        <w:spacing w:after="0" w:line="240" w:lineRule="auto"/>
      </w:pPr>
      <w:r>
        <w:separator/>
      </w:r>
    </w:p>
  </w:footnote>
  <w:footnote w:type="continuationSeparator" w:id="0">
    <w:p w14:paraId="568069C9" w14:textId="77777777" w:rsidR="009F0976" w:rsidRDefault="009F0976" w:rsidP="00E84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064231"/>
      <w:docPartObj>
        <w:docPartGallery w:val="Page Numbers (Top of Page)"/>
        <w:docPartUnique/>
      </w:docPartObj>
    </w:sdtPr>
    <w:sdtEndPr>
      <w:rPr>
        <w:sz w:val="28"/>
      </w:rPr>
    </w:sdtEndPr>
    <w:sdtContent>
      <w:p w14:paraId="74A32998" w14:textId="6ABB5456" w:rsidR="00F2458C" w:rsidRPr="0066154D" w:rsidRDefault="003C4C2A">
        <w:pPr>
          <w:pStyle w:val="a4"/>
          <w:jc w:val="center"/>
          <w:rPr>
            <w:sz w:val="28"/>
          </w:rPr>
        </w:pPr>
        <w:r>
          <w:rPr>
            <w:sz w:val="28"/>
            <w:lang w:val="ru-RU"/>
          </w:rPr>
          <w:t>10</w:t>
        </w:r>
      </w:p>
    </w:sdtContent>
  </w:sdt>
  <w:p w14:paraId="327FB4BD" w14:textId="77777777" w:rsidR="00F2458C" w:rsidRDefault="00F2458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DB7"/>
    <w:rsid w:val="00012C25"/>
    <w:rsid w:val="00036EF3"/>
    <w:rsid w:val="000610E5"/>
    <w:rsid w:val="00100E3F"/>
    <w:rsid w:val="0011382A"/>
    <w:rsid w:val="001348EC"/>
    <w:rsid w:val="00171EE3"/>
    <w:rsid w:val="001C48E1"/>
    <w:rsid w:val="001D6BB6"/>
    <w:rsid w:val="001F3DAC"/>
    <w:rsid w:val="001F474E"/>
    <w:rsid w:val="00261758"/>
    <w:rsid w:val="0028349B"/>
    <w:rsid w:val="002A74D0"/>
    <w:rsid w:val="002C0DB7"/>
    <w:rsid w:val="002E5B26"/>
    <w:rsid w:val="002F50A0"/>
    <w:rsid w:val="003506D7"/>
    <w:rsid w:val="0038185B"/>
    <w:rsid w:val="00382DC9"/>
    <w:rsid w:val="003A32B1"/>
    <w:rsid w:val="003C4C2A"/>
    <w:rsid w:val="003C6316"/>
    <w:rsid w:val="003C6966"/>
    <w:rsid w:val="003E576D"/>
    <w:rsid w:val="00417989"/>
    <w:rsid w:val="004556FD"/>
    <w:rsid w:val="0048409B"/>
    <w:rsid w:val="00494F49"/>
    <w:rsid w:val="004A4F0C"/>
    <w:rsid w:val="004E2607"/>
    <w:rsid w:val="004F7A36"/>
    <w:rsid w:val="00502C7D"/>
    <w:rsid w:val="00525162"/>
    <w:rsid w:val="00553A66"/>
    <w:rsid w:val="00556E13"/>
    <w:rsid w:val="00594DF5"/>
    <w:rsid w:val="0059721B"/>
    <w:rsid w:val="005E12A7"/>
    <w:rsid w:val="00644F66"/>
    <w:rsid w:val="0066154D"/>
    <w:rsid w:val="00675A5B"/>
    <w:rsid w:val="006B4874"/>
    <w:rsid w:val="006D08C1"/>
    <w:rsid w:val="006F51B6"/>
    <w:rsid w:val="00710107"/>
    <w:rsid w:val="0072032E"/>
    <w:rsid w:val="00766BD1"/>
    <w:rsid w:val="00767170"/>
    <w:rsid w:val="00782235"/>
    <w:rsid w:val="00786307"/>
    <w:rsid w:val="007A3488"/>
    <w:rsid w:val="007B1C67"/>
    <w:rsid w:val="007E7E1A"/>
    <w:rsid w:val="007F6DBA"/>
    <w:rsid w:val="00841349"/>
    <w:rsid w:val="008A6403"/>
    <w:rsid w:val="008B78A9"/>
    <w:rsid w:val="008D0688"/>
    <w:rsid w:val="008D6FBB"/>
    <w:rsid w:val="008E4657"/>
    <w:rsid w:val="00902169"/>
    <w:rsid w:val="00917859"/>
    <w:rsid w:val="00957F74"/>
    <w:rsid w:val="00965B9C"/>
    <w:rsid w:val="009959C0"/>
    <w:rsid w:val="009F0976"/>
    <w:rsid w:val="009F773D"/>
    <w:rsid w:val="00A21084"/>
    <w:rsid w:val="00A3473B"/>
    <w:rsid w:val="00A43E0B"/>
    <w:rsid w:val="00AB6947"/>
    <w:rsid w:val="00B100B3"/>
    <w:rsid w:val="00B27BA2"/>
    <w:rsid w:val="00B62A56"/>
    <w:rsid w:val="00B81DCA"/>
    <w:rsid w:val="00BC6264"/>
    <w:rsid w:val="00C31514"/>
    <w:rsid w:val="00C3167D"/>
    <w:rsid w:val="00C96669"/>
    <w:rsid w:val="00CA3D2E"/>
    <w:rsid w:val="00CB745E"/>
    <w:rsid w:val="00CD6F17"/>
    <w:rsid w:val="00D25818"/>
    <w:rsid w:val="00D33D3C"/>
    <w:rsid w:val="00D66F36"/>
    <w:rsid w:val="00D83A22"/>
    <w:rsid w:val="00DA6F28"/>
    <w:rsid w:val="00DC70B2"/>
    <w:rsid w:val="00DD6479"/>
    <w:rsid w:val="00E06E34"/>
    <w:rsid w:val="00E12076"/>
    <w:rsid w:val="00E12E4E"/>
    <w:rsid w:val="00E15C14"/>
    <w:rsid w:val="00E177C5"/>
    <w:rsid w:val="00E52090"/>
    <w:rsid w:val="00E52E6E"/>
    <w:rsid w:val="00E84C24"/>
    <w:rsid w:val="00EE355B"/>
    <w:rsid w:val="00EE373C"/>
    <w:rsid w:val="00F0149B"/>
    <w:rsid w:val="00F06567"/>
    <w:rsid w:val="00F2458C"/>
    <w:rsid w:val="00F374D7"/>
    <w:rsid w:val="00F41197"/>
    <w:rsid w:val="00F44079"/>
    <w:rsid w:val="00F51060"/>
    <w:rsid w:val="00F533DC"/>
    <w:rsid w:val="00F67A2D"/>
    <w:rsid w:val="00F72864"/>
    <w:rsid w:val="00F82C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5893D"/>
  <w15:chartTrackingRefBased/>
  <w15:docId w15:val="{C54E8752-9E30-4263-AC98-FFB2D304C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A2D"/>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C24"/>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E84C2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84C24"/>
    <w:rPr>
      <w:rFonts w:ascii="Times New Roman" w:eastAsia="Times New Roman" w:hAnsi="Times New Roman" w:cs="Times New Roman"/>
      <w:lang w:val="en-US"/>
    </w:rPr>
  </w:style>
  <w:style w:type="paragraph" w:styleId="a6">
    <w:name w:val="footer"/>
    <w:basedOn w:val="a"/>
    <w:link w:val="a7"/>
    <w:uiPriority w:val="99"/>
    <w:unhideWhenUsed/>
    <w:rsid w:val="00E84C2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84C24"/>
    <w:rPr>
      <w:rFonts w:ascii="Times New Roman" w:eastAsia="Times New Roman" w:hAnsi="Times New Roman" w:cs="Times New Roman"/>
      <w:lang w:val="en-US"/>
    </w:rPr>
  </w:style>
  <w:style w:type="table" w:customStyle="1" w:styleId="1">
    <w:name w:val="Сетка таблицы1"/>
    <w:basedOn w:val="a1"/>
    <w:next w:val="a3"/>
    <w:uiPriority w:val="59"/>
    <w:rsid w:val="00F4119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basedOn w:val="a"/>
    <w:uiPriority w:val="34"/>
    <w:qFormat/>
    <w:rsid w:val="00F41197"/>
    <w:pPr>
      <w:ind w:left="720"/>
      <w:contextualSpacing/>
    </w:pPr>
  </w:style>
  <w:style w:type="paragraph" w:styleId="a9">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a"/>
    <w:uiPriority w:val="99"/>
    <w:unhideWhenUsed/>
    <w:qFormat/>
    <w:rsid w:val="00553A66"/>
    <w:pPr>
      <w:spacing w:before="100" w:beforeAutospacing="1" w:after="100" w:afterAutospacing="1" w:line="240" w:lineRule="auto"/>
    </w:pPr>
    <w:rPr>
      <w:sz w:val="24"/>
      <w:szCs w:val="24"/>
      <w:lang w:val="ru-RU" w:eastAsia="ru-RU"/>
    </w:rPr>
  </w:style>
  <w:style w:type="character" w:customStyle="1" w:styleId="aa">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9"/>
    <w:uiPriority w:val="99"/>
    <w:locked/>
    <w:rsid w:val="00553A6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281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TotalTime>
  <Pages>1</Pages>
  <Words>124</Words>
  <Characters>713</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Ағабеков Әділет Жандосұлы</dc:creator>
  <cp:keywords/>
  <dc:description/>
  <cp:lastModifiedBy>Букенов Жампоз Болатбекулы</cp:lastModifiedBy>
  <cp:revision>40</cp:revision>
  <dcterms:created xsi:type="dcterms:W3CDTF">2022-11-01T09:56:00Z</dcterms:created>
  <dcterms:modified xsi:type="dcterms:W3CDTF">2023-10-06T08:47:00Z</dcterms:modified>
</cp:coreProperties>
</file>